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40569536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6A5633">
        <w:rPr>
          <w:i w:val="0"/>
          <w:sz w:val="20"/>
        </w:rPr>
        <w:t>11 августа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496"/>
        <w:gridCol w:w="1413"/>
        <w:gridCol w:w="1551"/>
        <w:gridCol w:w="1839"/>
        <w:gridCol w:w="1408"/>
      </w:tblGrid>
      <w:tr w:rsidR="004144A7" w:rsidRPr="00794F7E" w14:paraId="53DA31B8" w14:textId="77777777" w:rsidTr="00591E2F">
        <w:trPr>
          <w:cantSplit/>
          <w:trHeight w:val="6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Площадь, </w:t>
            </w:r>
            <w:proofErr w:type="spellStart"/>
            <w:proofErr w:type="gramStart"/>
            <w:r w:rsidRPr="00794F7E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4ADCC6D0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Начальная цена,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591E2F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59347C84" w:rsidR="00591E2F" w:rsidRPr="002E6A17" w:rsidRDefault="00591E2F" w:rsidP="00591E2F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591E2F">
              <w:rPr>
                <w:b/>
                <w:sz w:val="20"/>
                <w:szCs w:val="20"/>
              </w:rPr>
              <w:t xml:space="preserve">Балансодержатель: УЖРЭП Октябрьского района г. Гродно. Адрес: ул. Лизы Чайкиной, д. 2А. Тел. </w:t>
            </w:r>
            <w:r w:rsidR="00B96E7E">
              <w:rPr>
                <w:b/>
                <w:sz w:val="20"/>
                <w:szCs w:val="20"/>
              </w:rPr>
              <w:t>+375</w:t>
            </w:r>
            <w:r w:rsidRPr="00591E2F">
              <w:rPr>
                <w:b/>
                <w:sz w:val="20"/>
                <w:szCs w:val="20"/>
              </w:rPr>
              <w:t xml:space="preserve"> (152) 39-18-19</w:t>
            </w:r>
          </w:p>
        </w:tc>
      </w:tr>
      <w:tr w:rsidR="00591E2F" w:rsidRPr="00794F7E" w14:paraId="322CDA86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5AE2C9A1" w:rsidR="00591E2F" w:rsidRPr="00591E2F" w:rsidRDefault="00591E2F" w:rsidP="00591E2F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A7E" w14:textId="69D50CAA" w:rsidR="00591E2F" w:rsidRPr="00591E2F" w:rsidRDefault="00245D34" w:rsidP="00591E2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 w:rsidRPr="00245D34">
              <w:rPr>
                <w:sz w:val="20"/>
                <w:szCs w:val="20"/>
              </w:rPr>
              <w:t>Изолированное помещение</w:t>
            </w:r>
            <w:r w:rsidR="004D0D0E">
              <w:rPr>
                <w:sz w:val="20"/>
                <w:szCs w:val="20"/>
              </w:rPr>
              <w:t xml:space="preserve"> с инв. № </w:t>
            </w:r>
            <w:r w:rsidR="004D0D0E" w:rsidRPr="004D0D0E">
              <w:rPr>
                <w:sz w:val="20"/>
                <w:szCs w:val="20"/>
              </w:rPr>
              <w:t>400/</w:t>
            </w:r>
            <w:r>
              <w:rPr>
                <w:sz w:val="20"/>
                <w:szCs w:val="20"/>
                <w:lang w:val="en-US"/>
              </w:rPr>
              <w:t>D</w:t>
            </w:r>
            <w:r w:rsidR="004D0D0E" w:rsidRPr="004D0D0E">
              <w:rPr>
                <w:sz w:val="20"/>
                <w:szCs w:val="20"/>
              </w:rPr>
              <w:t>-</w:t>
            </w:r>
            <w:r w:rsidR="00473C83" w:rsidRPr="00473C83">
              <w:rPr>
                <w:bCs/>
                <w:sz w:val="20"/>
                <w:szCs w:val="20"/>
              </w:rPr>
              <w:t xml:space="preserve">85038 </w:t>
            </w:r>
            <w:r w:rsidR="002F120E" w:rsidRPr="002F120E">
              <w:rPr>
                <w:bCs/>
                <w:sz w:val="20"/>
                <w:szCs w:val="20"/>
              </w:rPr>
              <w:t>(</w:t>
            </w:r>
            <w:r w:rsidR="00473C83" w:rsidRPr="00473C83">
              <w:rPr>
                <w:bCs/>
                <w:sz w:val="20"/>
                <w:szCs w:val="20"/>
              </w:rPr>
              <w:t>помещение, не относящееся к жилищному фонду</w:t>
            </w:r>
            <w:r w:rsidR="002F120E" w:rsidRPr="002F120E">
              <w:rPr>
                <w:bCs/>
                <w:sz w:val="20"/>
                <w:szCs w:val="20"/>
              </w:rPr>
              <w:t>)</w:t>
            </w:r>
            <w:r w:rsidR="00591E2F" w:rsidRPr="00591E2F">
              <w:rPr>
                <w:bCs/>
                <w:sz w:val="20"/>
                <w:szCs w:val="20"/>
              </w:rPr>
              <w:t>.</w:t>
            </w:r>
            <w:r w:rsidR="00AD4686">
              <w:rPr>
                <w:bCs/>
                <w:sz w:val="20"/>
                <w:szCs w:val="20"/>
              </w:rPr>
              <w:t xml:space="preserve"> </w:t>
            </w:r>
            <w:r w:rsidR="00473C83" w:rsidRPr="00473C83">
              <w:rPr>
                <w:bCs/>
                <w:sz w:val="20"/>
                <w:szCs w:val="20"/>
              </w:rPr>
              <w:t>Подвальное помещение, наличие коммуникаций</w:t>
            </w:r>
            <w:r w:rsidR="00591E2F" w:rsidRPr="00591E2F">
              <w:rPr>
                <w:bCs/>
                <w:sz w:val="20"/>
                <w:szCs w:val="20"/>
              </w:rPr>
              <w:t xml:space="preserve">. Предполагаемое целевое назначение аренды: </w:t>
            </w:r>
            <w:r w:rsidR="004D0D0E">
              <w:rPr>
                <w:bCs/>
                <w:sz w:val="20"/>
                <w:szCs w:val="20"/>
              </w:rPr>
              <w:t>офис, оказание услу</w:t>
            </w:r>
            <w:r w:rsidR="00473C83">
              <w:rPr>
                <w:bCs/>
                <w:sz w:val="20"/>
                <w:szCs w:val="20"/>
              </w:rPr>
              <w:t>г</w:t>
            </w:r>
            <w:r w:rsidR="00591E2F" w:rsidRPr="00591E2F">
              <w:rPr>
                <w:bCs/>
                <w:sz w:val="20"/>
                <w:szCs w:val="20"/>
              </w:rPr>
              <w:t xml:space="preserve">. г. Гродно, </w:t>
            </w:r>
            <w:r w:rsidR="00A404CC" w:rsidRPr="00A404CC">
              <w:rPr>
                <w:b/>
                <w:sz w:val="20"/>
                <w:szCs w:val="20"/>
              </w:rPr>
              <w:t>ул. Гоголя, д. 3, пом. 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49B14CE2" w:rsidR="00591E2F" w:rsidRPr="00591E2F" w:rsidRDefault="00A404CC" w:rsidP="00591E2F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44A8F709" w:rsidR="00591E2F" w:rsidRPr="00591E2F" w:rsidRDefault="00A404CC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42E1E698" w:rsidR="00591E2F" w:rsidRPr="00591E2F" w:rsidRDefault="00A404CC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A404CC">
              <w:rPr>
                <w:bCs/>
                <w:sz w:val="20"/>
                <w:szCs w:val="20"/>
              </w:rPr>
              <w:t>156,73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5DB760B2" w:rsidR="00591E2F" w:rsidRPr="00591E2F" w:rsidRDefault="00A404CC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A404CC">
              <w:rPr>
                <w:bCs/>
                <w:sz w:val="20"/>
                <w:szCs w:val="20"/>
              </w:rPr>
              <w:t>156,73</w:t>
            </w:r>
          </w:p>
        </w:tc>
      </w:tr>
    </w:tbl>
    <w:p w14:paraId="7DC24EF3" w14:textId="19FA7DF4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27564D5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недвижимости»: </w:t>
      </w:r>
      <w:r w:rsidR="00B96E7E">
        <w:rPr>
          <w:sz w:val="20"/>
          <w:szCs w:val="20"/>
        </w:rPr>
        <w:t>+375</w:t>
      </w:r>
      <w:r w:rsidRPr="00C41ED4">
        <w:rPr>
          <w:sz w:val="20"/>
          <w:szCs w:val="20"/>
        </w:rPr>
        <w:t xml:space="preserve">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C41ED4">
        <w:rPr>
          <w:sz w:val="20"/>
          <w:szCs w:val="20"/>
        </w:rPr>
        <w:t>машино</w:t>
      </w:r>
      <w:proofErr w:type="spellEnd"/>
      <w:r w:rsidRPr="00C41ED4">
        <w:rPr>
          <w:sz w:val="20"/>
          <w:szCs w:val="20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5D878D90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6A5633">
        <w:rPr>
          <w:b/>
          <w:bCs/>
          <w:sz w:val="20"/>
          <w:szCs w:val="20"/>
          <w:u w:val="single"/>
        </w:rPr>
        <w:t>11 августа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</w:t>
      </w:r>
      <w:r w:rsidR="00AD4686">
        <w:rPr>
          <w:b/>
          <w:spacing w:val="-2"/>
          <w:sz w:val="20"/>
          <w:szCs w:val="20"/>
        </w:rPr>
        <w:t xml:space="preserve">с </w:t>
      </w:r>
      <w:r w:rsidR="00967CC8">
        <w:rPr>
          <w:b/>
          <w:spacing w:val="-2"/>
          <w:sz w:val="20"/>
          <w:szCs w:val="20"/>
        </w:rPr>
        <w:t>17</w:t>
      </w:r>
      <w:r w:rsidR="006A5633">
        <w:rPr>
          <w:b/>
          <w:spacing w:val="-2"/>
          <w:sz w:val="20"/>
          <w:szCs w:val="20"/>
        </w:rPr>
        <w:t xml:space="preserve"> июля</w:t>
      </w:r>
      <w:r w:rsidR="00AD4686"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 xml:space="preserve">по </w:t>
      </w:r>
      <w:r w:rsidR="006A5633">
        <w:rPr>
          <w:b/>
          <w:spacing w:val="-2"/>
          <w:sz w:val="20"/>
          <w:szCs w:val="20"/>
        </w:rPr>
        <w:t>5 августа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proofErr w:type="spellStart"/>
      <w:r w:rsidRPr="008C1110">
        <w:rPr>
          <w:spacing w:val="-4"/>
          <w:sz w:val="20"/>
          <w:szCs w:val="20"/>
          <w:lang w:val="en-US"/>
        </w:rPr>
        <w:t>nca</w:t>
      </w:r>
      <w:proofErr w:type="spellEnd"/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</w:rPr>
        <w:t>grodno</w:t>
      </w:r>
      <w:proofErr w:type="spellEnd"/>
      <w:r w:rsidRPr="00317D0D">
        <w:rPr>
          <w:spacing w:val="-4"/>
          <w:sz w:val="20"/>
        </w:rPr>
        <w:t>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  <w:lang w:val="en-US"/>
        </w:rPr>
        <w:t>gcn</w:t>
      </w:r>
      <w:proofErr w:type="spellEnd"/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</w:p>
    <w:p w14:paraId="52039E86" w14:textId="77777777" w:rsidR="00927232" w:rsidRDefault="00927232"/>
    <w:sectPr w:rsidR="00927232" w:rsidSect="00D55728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07047C"/>
    <w:rsid w:val="001B1254"/>
    <w:rsid w:val="00232109"/>
    <w:rsid w:val="00245D34"/>
    <w:rsid w:val="002959CA"/>
    <w:rsid w:val="00297847"/>
    <w:rsid w:val="002B4762"/>
    <w:rsid w:val="002B6738"/>
    <w:rsid w:val="002F120E"/>
    <w:rsid w:val="00317D0D"/>
    <w:rsid w:val="00360971"/>
    <w:rsid w:val="003E39AD"/>
    <w:rsid w:val="003F291B"/>
    <w:rsid w:val="004144A7"/>
    <w:rsid w:val="00473C83"/>
    <w:rsid w:val="004D0D0E"/>
    <w:rsid w:val="00590CCF"/>
    <w:rsid w:val="00591E2F"/>
    <w:rsid w:val="005B4642"/>
    <w:rsid w:val="006357F1"/>
    <w:rsid w:val="00682483"/>
    <w:rsid w:val="00682AC2"/>
    <w:rsid w:val="006A5633"/>
    <w:rsid w:val="006E68B6"/>
    <w:rsid w:val="007840CD"/>
    <w:rsid w:val="008013CB"/>
    <w:rsid w:val="00834922"/>
    <w:rsid w:val="00867D45"/>
    <w:rsid w:val="00927232"/>
    <w:rsid w:val="0095617D"/>
    <w:rsid w:val="00967CC8"/>
    <w:rsid w:val="009B33A1"/>
    <w:rsid w:val="009D5BBE"/>
    <w:rsid w:val="009E0B9A"/>
    <w:rsid w:val="00A404CC"/>
    <w:rsid w:val="00A62959"/>
    <w:rsid w:val="00AD4686"/>
    <w:rsid w:val="00B96E7E"/>
    <w:rsid w:val="00BA7079"/>
    <w:rsid w:val="00BB25C2"/>
    <w:rsid w:val="00BC1402"/>
    <w:rsid w:val="00D46A9B"/>
    <w:rsid w:val="00D55728"/>
    <w:rsid w:val="00D55FA5"/>
    <w:rsid w:val="00DD5A0E"/>
    <w:rsid w:val="00E93A18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37</cp:revision>
  <cp:lastPrinted>2026-07-15T09:18:00Z</cp:lastPrinted>
  <dcterms:created xsi:type="dcterms:W3CDTF">2025-09-30T08:11:00Z</dcterms:created>
  <dcterms:modified xsi:type="dcterms:W3CDTF">2026-07-15T12:28:00Z</dcterms:modified>
</cp:coreProperties>
</file>