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F93FD9" w:rsidRDefault="00220EEC" w:rsidP="00DA7F9C">
      <w:pPr>
        <w:spacing w:after="0"/>
        <w:jc w:val="center"/>
        <w:rPr>
          <w:rFonts w:ascii="Times New Roman" w:hAnsi="Times New Roman" w:cs="Times New Roman"/>
          <w:b/>
          <w:sz w:val="18"/>
        </w:rPr>
      </w:pPr>
      <w:r w:rsidRPr="00F93FD9">
        <w:rPr>
          <w:rFonts w:ascii="Times New Roman" w:hAnsi="Times New Roman" w:cs="Times New Roman"/>
          <w:b/>
          <w:sz w:val="18"/>
        </w:rPr>
        <w:t xml:space="preserve">Извещение о проведении </w:t>
      </w:r>
      <w:r w:rsidR="00AE4E49" w:rsidRPr="00F93FD9">
        <w:rPr>
          <w:rFonts w:ascii="Times New Roman" w:hAnsi="Times New Roman" w:cs="Times New Roman"/>
          <w:b/>
          <w:sz w:val="18"/>
        </w:rPr>
        <w:t xml:space="preserve">открытого </w:t>
      </w:r>
      <w:r w:rsidRPr="00F93FD9">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B72D83">
        <w:rPr>
          <w:rFonts w:ascii="Times New Roman" w:hAnsi="Times New Roman" w:cs="Times New Roman"/>
          <w:b/>
          <w:sz w:val="18"/>
        </w:rPr>
        <w:t>4 марта 2025</w:t>
      </w:r>
      <w:r w:rsidRPr="00F93FD9">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3"/>
        <w:gridCol w:w="10452"/>
        <w:gridCol w:w="2267"/>
        <w:gridCol w:w="1555"/>
      </w:tblGrid>
      <w:tr w:rsidR="00AE4E49" w:rsidRPr="00F93FD9" w:rsidTr="006D6430">
        <w:tc>
          <w:tcPr>
            <w:tcW w:w="291"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 лота</w:t>
            </w:r>
          </w:p>
        </w:tc>
        <w:tc>
          <w:tcPr>
            <w:tcW w:w="3448" w:type="pct"/>
          </w:tcPr>
          <w:p w:rsidR="00AE4E49" w:rsidRPr="00F93FD9" w:rsidRDefault="00AE4E49">
            <w:pPr>
              <w:rPr>
                <w:rFonts w:ascii="Times New Roman" w:hAnsi="Times New Roman" w:cs="Times New Roman"/>
                <w:sz w:val="18"/>
              </w:rPr>
            </w:pPr>
            <w:r w:rsidRPr="00F93FD9">
              <w:rPr>
                <w:rFonts w:ascii="Times New Roman" w:hAnsi="Times New Roman" w:cs="Times New Roman"/>
                <w:sz w:val="18"/>
              </w:rPr>
              <w:t>Сведения о предмете аукциона</w:t>
            </w:r>
          </w:p>
        </w:tc>
        <w:tc>
          <w:tcPr>
            <w:tcW w:w="748" w:type="pct"/>
            <w:vAlign w:val="center"/>
          </w:tcPr>
          <w:p w:rsidR="00AE4E49" w:rsidRPr="00F93FD9" w:rsidRDefault="00AE4E49" w:rsidP="00337216">
            <w:pPr>
              <w:jc w:val="center"/>
              <w:rPr>
                <w:rFonts w:ascii="Times New Roman" w:hAnsi="Times New Roman" w:cs="Times New Roman"/>
                <w:sz w:val="18"/>
              </w:rPr>
            </w:pPr>
            <w:r w:rsidRPr="00F93FD9">
              <w:rPr>
                <w:rFonts w:ascii="Times New Roman" w:hAnsi="Times New Roman" w:cs="Times New Roman"/>
                <w:sz w:val="18"/>
              </w:rPr>
              <w:t>Начальная цена продажи, руб.</w:t>
            </w:r>
          </w:p>
        </w:tc>
        <w:tc>
          <w:tcPr>
            <w:tcW w:w="513" w:type="pct"/>
            <w:vAlign w:val="center"/>
          </w:tcPr>
          <w:p w:rsidR="00AE4E49" w:rsidRPr="00F93FD9" w:rsidRDefault="00AE4E49" w:rsidP="005F4DFB">
            <w:pPr>
              <w:jc w:val="center"/>
              <w:rPr>
                <w:rFonts w:ascii="Times New Roman" w:hAnsi="Times New Roman" w:cs="Times New Roman"/>
                <w:sz w:val="18"/>
              </w:rPr>
            </w:pPr>
            <w:r w:rsidRPr="00F93FD9">
              <w:rPr>
                <w:rFonts w:ascii="Times New Roman" w:hAnsi="Times New Roman" w:cs="Times New Roman"/>
                <w:sz w:val="18"/>
              </w:rPr>
              <w:t>Размер задатка, руб.</w:t>
            </w:r>
          </w:p>
        </w:tc>
      </w:tr>
      <w:tr w:rsidR="0017543D" w:rsidRPr="00F93FD9" w:rsidTr="0017543D">
        <w:tc>
          <w:tcPr>
            <w:tcW w:w="5000" w:type="pct"/>
            <w:gridSpan w:val="4"/>
          </w:tcPr>
          <w:p w:rsidR="0017543D" w:rsidRPr="0017543D" w:rsidRDefault="0017543D" w:rsidP="0017543D">
            <w:pPr>
              <w:rPr>
                <w:rFonts w:ascii="Times New Roman" w:hAnsi="Times New Roman" w:cs="Times New Roman"/>
                <w:b/>
                <w:sz w:val="18"/>
              </w:rPr>
            </w:pPr>
            <w:r w:rsidRPr="0017543D">
              <w:rPr>
                <w:rFonts w:ascii="Times New Roman" w:hAnsi="Times New Roman" w:cs="Times New Roman"/>
                <w:b/>
                <w:sz w:val="18"/>
              </w:rPr>
              <w:t xml:space="preserve">Продавец: унитарное жилищное ремонтно-эксплуатационное предприятие Ленинского района г. Гродно, адрес: г. Гродно, ул. </w:t>
            </w:r>
            <w:proofErr w:type="spellStart"/>
            <w:r w:rsidRPr="0017543D">
              <w:rPr>
                <w:rFonts w:ascii="Times New Roman" w:hAnsi="Times New Roman" w:cs="Times New Roman"/>
                <w:b/>
                <w:sz w:val="18"/>
              </w:rPr>
              <w:t>Богуцкого</w:t>
            </w:r>
            <w:proofErr w:type="spellEnd"/>
            <w:r w:rsidRPr="0017543D">
              <w:rPr>
                <w:rFonts w:ascii="Times New Roman" w:hAnsi="Times New Roman" w:cs="Times New Roman"/>
                <w:b/>
                <w:sz w:val="18"/>
              </w:rPr>
              <w:t>, 7, тел.: 8(0152) 68-00-48</w:t>
            </w:r>
            <w:r>
              <w:rPr>
                <w:rFonts w:ascii="Times New Roman" w:hAnsi="Times New Roman" w:cs="Times New Roman"/>
                <w:b/>
                <w:sz w:val="18"/>
              </w:rPr>
              <w:t>, 55-72-47</w:t>
            </w:r>
          </w:p>
        </w:tc>
      </w:tr>
      <w:tr w:rsidR="00E478AA" w:rsidRPr="00F93FD9" w:rsidTr="006D6430">
        <w:tc>
          <w:tcPr>
            <w:tcW w:w="291" w:type="pct"/>
          </w:tcPr>
          <w:p w:rsidR="00E478AA" w:rsidRPr="00F93FD9" w:rsidRDefault="00E478AA" w:rsidP="00E478AA">
            <w:pPr>
              <w:rPr>
                <w:rFonts w:ascii="Times New Roman" w:hAnsi="Times New Roman" w:cs="Times New Roman"/>
                <w:sz w:val="18"/>
              </w:rPr>
            </w:pPr>
            <w:r w:rsidRPr="00F93FD9">
              <w:rPr>
                <w:rFonts w:ascii="Times New Roman" w:hAnsi="Times New Roman" w:cs="Times New Roman"/>
                <w:sz w:val="18"/>
              </w:rPr>
              <w:t>1</w:t>
            </w:r>
          </w:p>
        </w:tc>
        <w:tc>
          <w:tcPr>
            <w:tcW w:w="3448" w:type="pct"/>
          </w:tcPr>
          <w:p w:rsidR="00E478AA" w:rsidRDefault="00E478AA" w:rsidP="00E478AA">
            <w:pPr>
              <w:rPr>
                <w:rFonts w:ascii="Times New Roman" w:hAnsi="Times New Roman" w:cs="Times New Roman"/>
                <w:sz w:val="18"/>
              </w:rPr>
            </w:pPr>
            <w:r>
              <w:rPr>
                <w:rFonts w:ascii="Times New Roman" w:hAnsi="Times New Roman" w:cs="Times New Roman"/>
                <w:sz w:val="18"/>
              </w:rPr>
              <w:t xml:space="preserve">Изолированные помещения с инвентарными номерами: </w:t>
            </w:r>
            <w:r w:rsidR="00244AC2">
              <w:rPr>
                <w:rFonts w:ascii="Times New Roman" w:hAnsi="Times New Roman" w:cs="Times New Roman"/>
                <w:sz w:val="18"/>
              </w:rPr>
              <w:t>400/</w:t>
            </w:r>
            <w:r w:rsidR="00244AC2">
              <w:rPr>
                <w:rFonts w:ascii="Times New Roman" w:hAnsi="Times New Roman" w:cs="Times New Roman"/>
                <w:sz w:val="18"/>
                <w:lang w:val="en-US"/>
              </w:rPr>
              <w:t>D</w:t>
            </w:r>
            <w:r w:rsidR="00244AC2" w:rsidRPr="00244AC2">
              <w:rPr>
                <w:rFonts w:ascii="Times New Roman" w:hAnsi="Times New Roman" w:cs="Times New Roman"/>
                <w:sz w:val="18"/>
              </w:rPr>
              <w:t>-212369 (</w:t>
            </w:r>
            <w:r w:rsidR="00244AC2">
              <w:rPr>
                <w:rFonts w:ascii="Times New Roman" w:hAnsi="Times New Roman" w:cs="Times New Roman"/>
                <w:sz w:val="18"/>
              </w:rPr>
              <w:t xml:space="preserve">наименование – </w:t>
            </w:r>
            <w:r w:rsidR="00244AC2" w:rsidRPr="00192990">
              <w:rPr>
                <w:rFonts w:ascii="Times New Roman" w:hAnsi="Times New Roman" w:cs="Times New Roman"/>
                <w:sz w:val="18"/>
              </w:rPr>
              <w:t>нежилое помещение</w:t>
            </w:r>
            <w:r w:rsidR="00244AC2">
              <w:rPr>
                <w:rFonts w:ascii="Times New Roman" w:hAnsi="Times New Roman" w:cs="Times New Roman"/>
                <w:sz w:val="18"/>
              </w:rPr>
              <w:t xml:space="preserve">) площадью 52,1 </w:t>
            </w:r>
            <w:proofErr w:type="spellStart"/>
            <w:r w:rsidR="00244AC2">
              <w:rPr>
                <w:rFonts w:ascii="Times New Roman" w:hAnsi="Times New Roman" w:cs="Times New Roman"/>
                <w:sz w:val="18"/>
              </w:rPr>
              <w:t>кв.м</w:t>
            </w:r>
            <w:proofErr w:type="spellEnd"/>
            <w:r w:rsidR="00244AC2">
              <w:rPr>
                <w:rFonts w:ascii="Times New Roman" w:hAnsi="Times New Roman" w:cs="Times New Roman"/>
                <w:sz w:val="18"/>
              </w:rPr>
              <w:t>;</w:t>
            </w:r>
            <w:r w:rsidR="00244AC2" w:rsidRPr="00244AC2">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222223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6,6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222224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9,1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222225 (наименование – </w:t>
            </w:r>
            <w:r w:rsidRPr="00192990">
              <w:rPr>
                <w:rFonts w:ascii="Times New Roman" w:hAnsi="Times New Roman" w:cs="Times New Roman"/>
                <w:sz w:val="18"/>
              </w:rPr>
              <w:t>нежилое помещение</w:t>
            </w:r>
            <w:r>
              <w:rPr>
                <w:rFonts w:ascii="Times New Roman" w:hAnsi="Times New Roman" w:cs="Times New Roman"/>
                <w:sz w:val="18"/>
              </w:rPr>
              <w:t xml:space="preserve">) площадью 58,0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222226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40,5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176AAF">
              <w:rPr>
                <w:rFonts w:ascii="Times New Roman" w:hAnsi="Times New Roman" w:cs="Times New Roman"/>
                <w:sz w:val="18"/>
              </w:rPr>
              <w:t>400/D-</w:t>
            </w:r>
            <w:r>
              <w:rPr>
                <w:rFonts w:ascii="Times New Roman" w:hAnsi="Times New Roman" w:cs="Times New Roman"/>
                <w:sz w:val="18"/>
              </w:rPr>
              <w:t xml:space="preserve">222227 (наименование – </w:t>
            </w:r>
            <w:r w:rsidRPr="00D61F79">
              <w:rPr>
                <w:rFonts w:ascii="Times New Roman" w:hAnsi="Times New Roman" w:cs="Times New Roman"/>
                <w:sz w:val="18"/>
              </w:rPr>
              <w:t>нежилое помещение</w:t>
            </w:r>
            <w:r>
              <w:rPr>
                <w:rFonts w:ascii="Times New Roman" w:hAnsi="Times New Roman" w:cs="Times New Roman"/>
                <w:sz w:val="18"/>
              </w:rPr>
              <w:t xml:space="preserve">) площадью 74,3 </w:t>
            </w:r>
            <w:proofErr w:type="spellStart"/>
            <w:r>
              <w:rPr>
                <w:rFonts w:ascii="Times New Roman" w:hAnsi="Times New Roman" w:cs="Times New Roman"/>
                <w:sz w:val="18"/>
              </w:rPr>
              <w:t>кв.м</w:t>
            </w:r>
            <w:proofErr w:type="spellEnd"/>
            <w:r>
              <w:rPr>
                <w:rFonts w:ascii="Times New Roman" w:hAnsi="Times New Roman" w:cs="Times New Roman"/>
                <w:sz w:val="18"/>
              </w:rPr>
              <w:t>. Общая площадь помещений:</w:t>
            </w:r>
            <w:r w:rsidR="008D3F1E">
              <w:rPr>
                <w:rFonts w:ascii="Times New Roman" w:hAnsi="Times New Roman" w:cs="Times New Roman"/>
                <w:sz w:val="18"/>
              </w:rPr>
              <w:t xml:space="preserve"> </w:t>
            </w:r>
            <w:r w:rsidR="00244AC2">
              <w:rPr>
                <w:rFonts w:ascii="Times New Roman" w:hAnsi="Times New Roman" w:cs="Times New Roman"/>
                <w:sz w:val="18"/>
              </w:rPr>
              <w:t>240,60</w:t>
            </w:r>
            <w:r>
              <w:rPr>
                <w:rFonts w:ascii="Times New Roman" w:hAnsi="Times New Roman" w:cs="Times New Roman"/>
                <w:sz w:val="18"/>
              </w:rPr>
              <w:t xml:space="preserve"> </w:t>
            </w:r>
            <w:proofErr w:type="spellStart"/>
            <w:r>
              <w:rPr>
                <w:rFonts w:ascii="Times New Roman" w:hAnsi="Times New Roman" w:cs="Times New Roman"/>
                <w:sz w:val="18"/>
              </w:rPr>
              <w:t>кв.м</w:t>
            </w:r>
            <w:proofErr w:type="spellEnd"/>
            <w:r>
              <w:rPr>
                <w:rFonts w:ascii="Times New Roman" w:hAnsi="Times New Roman" w:cs="Times New Roman"/>
                <w:sz w:val="18"/>
              </w:rPr>
              <w:t xml:space="preserve">. </w:t>
            </w:r>
            <w:r w:rsidRPr="00975E8B">
              <w:rPr>
                <w:rFonts w:ascii="Times New Roman" w:hAnsi="Times New Roman" w:cs="Times New Roman"/>
                <w:sz w:val="18"/>
              </w:rPr>
              <w:t>Расположены в одноэтажном здании.</w:t>
            </w:r>
          </w:p>
          <w:p w:rsidR="00E478AA" w:rsidRDefault="00E478AA" w:rsidP="00E478AA">
            <w:pPr>
              <w:rPr>
                <w:rFonts w:ascii="Times New Roman" w:hAnsi="Times New Roman" w:cs="Times New Roman"/>
                <w:b/>
                <w:sz w:val="18"/>
              </w:rPr>
            </w:pPr>
            <w:r w:rsidRPr="00F93FD9">
              <w:rPr>
                <w:rFonts w:ascii="Times New Roman" w:hAnsi="Times New Roman" w:cs="Times New Roman"/>
                <w:sz w:val="18"/>
              </w:rPr>
              <w:t>Место нахождения:</w:t>
            </w:r>
            <w:r>
              <w:rPr>
                <w:rFonts w:ascii="Times New Roman" w:hAnsi="Times New Roman" w:cs="Times New Roman"/>
                <w:sz w:val="18"/>
              </w:rPr>
              <w:t xml:space="preserve"> </w:t>
            </w:r>
            <w:r w:rsidRPr="00176AAF">
              <w:rPr>
                <w:rFonts w:ascii="Times New Roman" w:hAnsi="Times New Roman" w:cs="Times New Roman"/>
                <w:sz w:val="18"/>
              </w:rPr>
              <w:t xml:space="preserve">г. Гродно, </w:t>
            </w:r>
            <w:r>
              <w:rPr>
                <w:rFonts w:ascii="Times New Roman" w:hAnsi="Times New Roman" w:cs="Times New Roman"/>
                <w:b/>
                <w:sz w:val="18"/>
              </w:rPr>
              <w:t>ул. Грандичская, 117-</w:t>
            </w:r>
            <w:r w:rsidR="000D54AA">
              <w:rPr>
                <w:rFonts w:ascii="Times New Roman" w:hAnsi="Times New Roman" w:cs="Times New Roman"/>
                <w:b/>
                <w:sz w:val="18"/>
              </w:rPr>
              <w:t xml:space="preserve">2, </w:t>
            </w:r>
            <w:r>
              <w:rPr>
                <w:rFonts w:ascii="Times New Roman" w:hAnsi="Times New Roman" w:cs="Times New Roman"/>
                <w:b/>
                <w:sz w:val="18"/>
              </w:rPr>
              <w:t>3, 4, 5, 6, 7</w:t>
            </w:r>
          </w:p>
          <w:p w:rsidR="00E478AA" w:rsidRPr="00F93FD9" w:rsidRDefault="00E478AA" w:rsidP="00E478AA">
            <w:pPr>
              <w:jc w:val="both"/>
              <w:rPr>
                <w:rFonts w:ascii="Times New Roman" w:hAnsi="Times New Roman" w:cs="Times New Roman"/>
                <w:sz w:val="18"/>
              </w:rPr>
            </w:pPr>
            <w:r w:rsidRPr="00065AF6">
              <w:rPr>
                <w:rFonts w:ascii="Times New Roman" w:hAnsi="Times New Roman" w:cs="Times New Roman"/>
                <w:i/>
                <w:sz w:val="18"/>
              </w:rPr>
              <w:t>Условия продажи имущества:</w:t>
            </w:r>
            <w:r w:rsidRPr="00DC6969">
              <w:rPr>
                <w:rFonts w:ascii="Times New Roman" w:hAnsi="Times New Roman" w:cs="Times New Roman"/>
                <w:sz w:val="18"/>
              </w:rPr>
              <w:t xml:space="preserve">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w:t>
            </w:r>
            <w:r>
              <w:rPr>
                <w:rFonts w:ascii="Times New Roman" w:hAnsi="Times New Roman" w:cs="Times New Roman"/>
                <w:sz w:val="18"/>
              </w:rPr>
              <w:t xml:space="preserve"> проведение покупателем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обеспечение покупателем перехода всех обязательств по договору купли-продажи на нового собственника (в случае отчуждения недвижимого имущества) в том объеме и на тех условиях, которые существовали к моменту приобретения имущества, до полного исполнения всех условий договора купли-продажи.</w:t>
            </w:r>
          </w:p>
        </w:tc>
        <w:tc>
          <w:tcPr>
            <w:tcW w:w="748" w:type="pct"/>
          </w:tcPr>
          <w:p w:rsidR="003C3B0F" w:rsidRDefault="00B72D83" w:rsidP="006E0798">
            <w:pPr>
              <w:jc w:val="center"/>
              <w:rPr>
                <w:rFonts w:ascii="Times New Roman" w:hAnsi="Times New Roman" w:cs="Times New Roman"/>
                <w:sz w:val="18"/>
              </w:rPr>
            </w:pPr>
            <w:r>
              <w:rPr>
                <w:rFonts w:ascii="Times New Roman" w:hAnsi="Times New Roman" w:cs="Times New Roman"/>
                <w:sz w:val="18"/>
              </w:rPr>
              <w:t>38 090</w:t>
            </w:r>
            <w:r w:rsidR="006E0798">
              <w:rPr>
                <w:rFonts w:ascii="Times New Roman" w:hAnsi="Times New Roman" w:cs="Times New Roman"/>
                <w:sz w:val="18"/>
              </w:rPr>
              <w:t>,00</w:t>
            </w:r>
          </w:p>
          <w:p w:rsidR="008C2DBC" w:rsidRPr="00F93FD9" w:rsidRDefault="008C2DBC" w:rsidP="006E0798">
            <w:pPr>
              <w:jc w:val="center"/>
              <w:rPr>
                <w:rFonts w:ascii="Times New Roman" w:hAnsi="Times New Roman" w:cs="Times New Roman"/>
                <w:sz w:val="18"/>
              </w:rPr>
            </w:pPr>
            <w:r w:rsidRPr="00CA5E46">
              <w:rPr>
                <w:rFonts w:ascii="Times New Roman" w:hAnsi="Times New Roman"/>
                <w:sz w:val="16"/>
                <w:szCs w:val="20"/>
              </w:rPr>
              <w:t>(с понижением</w:t>
            </w:r>
            <w:r>
              <w:rPr>
                <w:rFonts w:ascii="Times New Roman" w:hAnsi="Times New Roman"/>
                <w:sz w:val="16"/>
                <w:szCs w:val="20"/>
              </w:rPr>
              <w:t xml:space="preserve"> первоначальной цены </w:t>
            </w:r>
            <w:r>
              <w:rPr>
                <w:rFonts w:ascii="Times New Roman" w:hAnsi="Times New Roman"/>
                <w:sz w:val="16"/>
                <w:szCs w:val="20"/>
              </w:rPr>
              <w:br/>
              <w:t>на 50</w:t>
            </w:r>
            <w:r w:rsidRPr="00CA5E46">
              <w:rPr>
                <w:rFonts w:ascii="Times New Roman" w:hAnsi="Times New Roman"/>
                <w:sz w:val="16"/>
                <w:szCs w:val="20"/>
              </w:rPr>
              <w:t>%)</w:t>
            </w:r>
          </w:p>
        </w:tc>
        <w:tc>
          <w:tcPr>
            <w:tcW w:w="513" w:type="pct"/>
          </w:tcPr>
          <w:p w:rsidR="00E478AA" w:rsidRPr="00F93FD9" w:rsidRDefault="00B72D83" w:rsidP="006E0798">
            <w:pPr>
              <w:jc w:val="center"/>
              <w:rPr>
                <w:rFonts w:ascii="Times New Roman" w:hAnsi="Times New Roman" w:cs="Times New Roman"/>
                <w:sz w:val="18"/>
              </w:rPr>
            </w:pPr>
            <w:r>
              <w:rPr>
                <w:rFonts w:ascii="Times New Roman" w:hAnsi="Times New Roman" w:cs="Times New Roman"/>
                <w:sz w:val="18"/>
              </w:rPr>
              <w:t>7 600</w:t>
            </w:r>
            <w:r w:rsidR="006E0798">
              <w:rPr>
                <w:rFonts w:ascii="Times New Roman" w:hAnsi="Times New Roman" w:cs="Times New Roman"/>
                <w:sz w:val="18"/>
              </w:rPr>
              <w:t>,00</w:t>
            </w:r>
          </w:p>
        </w:tc>
      </w:tr>
    </w:tbl>
    <w:p w:rsidR="00FF5C05" w:rsidRPr="00F93FD9" w:rsidRDefault="00FF5C0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7323AE" w:rsidRDefault="007323AE"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Организатор аукциона: коммунальное унитарное предприятие по оказанию услуг «Гродненский центр недвижимости», г. Гродно, пл. Ленина, 2/1, тел.: </w:t>
      </w:r>
      <w:bookmarkStart w:id="0" w:name="_GoBack"/>
      <w:r w:rsidRPr="00F93FD9">
        <w:rPr>
          <w:rFonts w:ascii="Times New Roman" w:hAnsi="Times New Roman" w:cs="Times New Roman"/>
          <w:sz w:val="18"/>
        </w:rPr>
        <w:t>8 (</w:t>
      </w:r>
      <w:r w:rsidR="00817E73">
        <w:rPr>
          <w:rFonts w:ascii="Times New Roman" w:hAnsi="Times New Roman" w:cs="Times New Roman"/>
          <w:sz w:val="18"/>
        </w:rPr>
        <w:t>1</w:t>
      </w:r>
      <w:r w:rsidRPr="00F93FD9">
        <w:rPr>
          <w:rFonts w:ascii="Times New Roman" w:hAnsi="Times New Roman" w:cs="Times New Roman"/>
          <w:sz w:val="18"/>
        </w:rPr>
        <w:t>52) 62-60-55, 62-60-56</w:t>
      </w:r>
      <w:bookmarkEnd w:id="0"/>
    </w:p>
    <w:p w:rsidR="00F37D33" w:rsidRPr="00F37D33" w:rsidRDefault="00F37D33" w:rsidP="003149C2">
      <w:pPr>
        <w:spacing w:after="0" w:line="240" w:lineRule="auto"/>
        <w:jc w:val="both"/>
        <w:rPr>
          <w:rFonts w:ascii="Times New Roman" w:hAnsi="Times New Roman" w:cs="Times New Roman"/>
          <w:color w:val="FF0000"/>
          <w:sz w:val="18"/>
          <w:szCs w:val="18"/>
        </w:rPr>
      </w:pPr>
      <w:r w:rsidRPr="000821D1">
        <w:rPr>
          <w:rStyle w:val="a5"/>
          <w:rFonts w:ascii="Times New Roman" w:hAnsi="Times New Roman" w:cs="Times New Roman"/>
          <w:b w:val="0"/>
          <w:sz w:val="18"/>
          <w:szCs w:val="18"/>
          <w:shd w:val="clear" w:color="auto" w:fill="FFFFFF"/>
        </w:rPr>
        <w:t>Форма проведения торгов</w:t>
      </w:r>
      <w:r w:rsidRPr="000821D1">
        <w:rPr>
          <w:rStyle w:val="a5"/>
          <w:rFonts w:ascii="Times New Roman" w:hAnsi="Times New Roman" w:cs="Times New Roman"/>
          <w:sz w:val="18"/>
          <w:szCs w:val="18"/>
          <w:shd w:val="clear" w:color="auto" w:fill="FFFFFF"/>
        </w:rPr>
        <w:t>: </w:t>
      </w:r>
      <w:r w:rsidRPr="000821D1">
        <w:rPr>
          <w:rFonts w:ascii="Times New Roman" w:hAnsi="Times New Roman" w:cs="Times New Roman"/>
          <w:sz w:val="18"/>
          <w:szCs w:val="18"/>
          <w:shd w:val="clear" w:color="auto" w:fill="FFFFFF"/>
        </w:rPr>
        <w:t>открытый аукцион на повышение начальной цены</w:t>
      </w:r>
      <w:r w:rsidRPr="00F37D33">
        <w:rPr>
          <w:rFonts w:ascii="Times New Roman" w:hAnsi="Times New Roman" w:cs="Times New Roman"/>
          <w:color w:val="FF0000"/>
          <w:sz w:val="18"/>
          <w:szCs w:val="18"/>
          <w:shd w:val="clear" w:color="auto" w:fill="FFFFFF"/>
        </w:rPr>
        <w:t>.</w:t>
      </w:r>
    </w:p>
    <w:p w:rsidR="00C611F5" w:rsidRPr="005874F6" w:rsidRDefault="00C611F5"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Аукцион состоится </w:t>
      </w:r>
      <w:r w:rsidR="00A62406">
        <w:rPr>
          <w:rFonts w:ascii="Times New Roman" w:hAnsi="Times New Roman" w:cs="Times New Roman"/>
          <w:b/>
          <w:sz w:val="18"/>
        </w:rPr>
        <w:t>4 марта 2025</w:t>
      </w:r>
      <w:r w:rsidRPr="005874F6">
        <w:rPr>
          <w:rFonts w:ascii="Times New Roman" w:hAnsi="Times New Roman" w:cs="Times New Roman"/>
          <w:b/>
          <w:sz w:val="18"/>
        </w:rPr>
        <w:t xml:space="preserve"> г. в 12:00 по адресу: г. Гродно, пл. Ленина, 2/1, здание горисполкома, актовый зал.</w:t>
      </w:r>
    </w:p>
    <w:p w:rsidR="00C611F5" w:rsidRPr="00F93FD9" w:rsidRDefault="00C611F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w:t>
      </w:r>
      <w:r w:rsidR="00F37D33">
        <w:rPr>
          <w:rFonts w:ascii="Times New Roman" w:hAnsi="Times New Roman" w:cs="Times New Roman"/>
          <w:sz w:val="18"/>
        </w:rPr>
        <w:t>ой собственности, утверждённым п</w:t>
      </w:r>
      <w:r w:rsidRPr="00F93FD9">
        <w:rPr>
          <w:rFonts w:ascii="Times New Roman" w:hAnsi="Times New Roman" w:cs="Times New Roman"/>
          <w:sz w:val="18"/>
        </w:rPr>
        <w:t>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363611" w:rsidRPr="00F93FD9" w:rsidRDefault="00363611"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 xml:space="preserve">Задаток вносится </w:t>
      </w:r>
      <w:r w:rsidR="00B27BF5" w:rsidRPr="00F93FD9">
        <w:rPr>
          <w:rFonts w:ascii="Times New Roman" w:hAnsi="Times New Roman" w:cs="Times New Roman"/>
          <w:sz w:val="18"/>
        </w:rPr>
        <w:t xml:space="preserve">в белорусских рублях в срок подачи документов на расчетный счет BY24 AKBB 3012 0000 4181 0400 0000 Гродненское областное управление №400 ОАО АСБ «Беларусбанк», </w:t>
      </w:r>
      <w:r w:rsidR="00B448AE">
        <w:rPr>
          <w:rFonts w:ascii="Times New Roman" w:hAnsi="Times New Roman" w:cs="Times New Roman"/>
          <w:sz w:val="18"/>
        </w:rPr>
        <w:br/>
      </w:r>
      <w:r w:rsidR="00B27BF5" w:rsidRPr="00F93FD9">
        <w:rPr>
          <w:rFonts w:ascii="Times New Roman" w:hAnsi="Times New Roman" w:cs="Times New Roman"/>
          <w:sz w:val="18"/>
        </w:rPr>
        <w:t>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юридическим лицом или индивидуальным предпринимателем РБ</w:t>
      </w:r>
      <w:r w:rsidRPr="00F93FD9">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иностранным юридическим лицом</w:t>
      </w:r>
      <w:r w:rsidRPr="00F93FD9">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юридического лица РБ</w:t>
      </w:r>
      <w:r w:rsidRPr="00F93FD9">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гражданина или индивидуального предпринимателя РБ</w:t>
      </w:r>
      <w:r w:rsidRPr="00F93FD9">
        <w:rPr>
          <w:rFonts w:ascii="Times New Roman" w:hAnsi="Times New Roman" w:cs="Times New Roman"/>
          <w:sz w:val="18"/>
        </w:rPr>
        <w:t xml:space="preserve"> - нотариально удостоверенная доверенность;</w:t>
      </w:r>
    </w:p>
    <w:p w:rsidR="007514F8" w:rsidRPr="00F93FD9"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b/>
          <w:sz w:val="18"/>
        </w:rPr>
        <w:t>представителем иностранного юридического лица, иностранного физического лица</w:t>
      </w:r>
      <w:r w:rsidRPr="00F93FD9">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7514F8" w:rsidRDefault="007514F8"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472EDB" w:rsidRPr="00472EDB" w:rsidRDefault="00472EDB" w:rsidP="00472EDB">
      <w:pPr>
        <w:spacing w:after="0" w:line="240" w:lineRule="auto"/>
        <w:jc w:val="center"/>
        <w:rPr>
          <w:rFonts w:ascii="Times New Roman" w:hAnsi="Times New Roman" w:cs="Times New Roman"/>
          <w:b/>
          <w:sz w:val="18"/>
          <w:u w:val="single"/>
        </w:rPr>
      </w:pPr>
      <w:r w:rsidRPr="00472EDB">
        <w:rPr>
          <w:rFonts w:ascii="Times New Roman" w:hAnsi="Times New Roman" w:cs="Times New Roman"/>
          <w:b/>
          <w:sz w:val="18"/>
          <w:u w:val="single"/>
        </w:rPr>
        <w:t>До подачи заявления физическому лицу 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271265" w:rsidRPr="00F93FD9" w:rsidRDefault="00271265"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lastRenderedPageBreak/>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w:t>
      </w:r>
      <w:r w:rsidR="00C05D61">
        <w:rPr>
          <w:rFonts w:ascii="Times New Roman" w:hAnsi="Times New Roman" w:cs="Times New Roman"/>
          <w:sz w:val="18"/>
        </w:rPr>
        <w:t>:</w:t>
      </w:r>
      <w:r w:rsidRPr="00F93FD9">
        <w:rPr>
          <w:rFonts w:ascii="Times New Roman" w:hAnsi="Times New Roman" w:cs="Times New Roman"/>
          <w:sz w:val="18"/>
        </w:rPr>
        <w:t xml:space="preserve"> перечислить на расчетный банковский счет, указанный в протоколе, сумму затрат на организацию и проведение торгов в течение 10 рабо</w:t>
      </w:r>
      <w:r w:rsidR="00672FA5">
        <w:rPr>
          <w:rFonts w:ascii="Times New Roman" w:hAnsi="Times New Roman" w:cs="Times New Roman"/>
          <w:sz w:val="18"/>
        </w:rPr>
        <w:t>чих дней со дня их проведения (и</w:t>
      </w:r>
      <w:r w:rsidRPr="00F93FD9">
        <w:rPr>
          <w:rFonts w:ascii="Times New Roman" w:hAnsi="Times New Roman" w:cs="Times New Roman"/>
          <w:sz w:val="18"/>
        </w:rPr>
        <w:t>нформация о сумме и порядке возмещения затрат доводится до сведения участников аукциона до его начала при заключительной регистрации под роспись</w:t>
      </w:r>
      <w:r w:rsidR="00672FA5">
        <w:rPr>
          <w:rFonts w:ascii="Times New Roman" w:hAnsi="Times New Roman" w:cs="Times New Roman"/>
          <w:sz w:val="18"/>
        </w:rPr>
        <w:t>)</w:t>
      </w:r>
      <w:r w:rsidR="00C05D61">
        <w:rPr>
          <w:rFonts w:ascii="Times New Roman" w:hAnsi="Times New Roman" w:cs="Times New Roman"/>
          <w:sz w:val="18"/>
        </w:rPr>
        <w:t xml:space="preserve">; </w:t>
      </w:r>
      <w:r w:rsidR="00672FA5">
        <w:rPr>
          <w:rFonts w:ascii="Times New Roman" w:hAnsi="Times New Roman" w:cs="Times New Roman"/>
          <w:sz w:val="18"/>
        </w:rPr>
        <w:t>п</w:t>
      </w:r>
      <w:r w:rsidR="00672FA5" w:rsidRPr="00C05D61">
        <w:rPr>
          <w:rFonts w:ascii="Times New Roman" w:hAnsi="Times New Roman" w:cs="Times New Roman"/>
          <w:sz w:val="18"/>
        </w:rPr>
        <w:t>осле предъявления копии платежных документов о перечислении суммы затрат на организацию и проведение торгов</w:t>
      </w:r>
      <w:r w:rsidR="00672FA5">
        <w:rPr>
          <w:rFonts w:ascii="Times New Roman" w:hAnsi="Times New Roman" w:cs="Times New Roman"/>
          <w:sz w:val="18"/>
        </w:rPr>
        <w:t xml:space="preserve">, но не позднее 10 рабочих дней, </w:t>
      </w:r>
      <w:r w:rsidR="00C05D61" w:rsidRPr="00C05D61">
        <w:rPr>
          <w:rFonts w:ascii="Times New Roman" w:hAnsi="Times New Roman" w:cs="Times New Roman"/>
          <w:sz w:val="18"/>
        </w:rPr>
        <w:t>подписать и заключить с продавцом имущества договор купли-продажи предмета торгов;</w:t>
      </w:r>
      <w:r w:rsidR="00C05D61">
        <w:rPr>
          <w:rFonts w:ascii="Times New Roman" w:hAnsi="Times New Roman" w:cs="Times New Roman"/>
          <w:sz w:val="18"/>
        </w:rPr>
        <w:t xml:space="preserve"> </w:t>
      </w:r>
      <w:r w:rsidR="00C05D61" w:rsidRPr="00C05D61">
        <w:rPr>
          <w:rFonts w:ascii="Times New Roman" w:hAnsi="Times New Roman" w:cs="Times New Roman"/>
          <w:sz w:val="18"/>
        </w:rPr>
        <w:t>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6B2277" w:rsidRPr="005874F6" w:rsidRDefault="006B2277" w:rsidP="003149C2">
      <w:pPr>
        <w:spacing w:after="0" w:line="240" w:lineRule="auto"/>
        <w:jc w:val="both"/>
        <w:rPr>
          <w:rFonts w:ascii="Times New Roman" w:hAnsi="Times New Roman" w:cs="Times New Roman"/>
          <w:b/>
          <w:sz w:val="18"/>
        </w:rPr>
      </w:pPr>
      <w:r w:rsidRPr="005874F6">
        <w:rPr>
          <w:rFonts w:ascii="Times New Roman" w:hAnsi="Times New Roman" w:cs="Times New Roman"/>
          <w:b/>
          <w:sz w:val="18"/>
        </w:rPr>
        <w:t xml:space="preserve">Заявления с прилагаемыми документами принимаются по </w:t>
      </w:r>
      <w:r w:rsidR="00A62406">
        <w:rPr>
          <w:rFonts w:ascii="Times New Roman" w:hAnsi="Times New Roman" w:cs="Times New Roman"/>
          <w:b/>
          <w:sz w:val="18"/>
        </w:rPr>
        <w:t>26 февраля</w:t>
      </w:r>
      <w:r w:rsidR="00125A40">
        <w:rPr>
          <w:rFonts w:ascii="Times New Roman" w:hAnsi="Times New Roman" w:cs="Times New Roman"/>
          <w:b/>
          <w:sz w:val="18"/>
        </w:rPr>
        <w:t xml:space="preserve"> 202</w:t>
      </w:r>
      <w:r w:rsidR="00A62406">
        <w:rPr>
          <w:rFonts w:ascii="Times New Roman" w:hAnsi="Times New Roman" w:cs="Times New Roman"/>
          <w:b/>
          <w:sz w:val="18"/>
        </w:rPr>
        <w:t>5</w:t>
      </w:r>
      <w:r w:rsidRPr="005874F6">
        <w:rPr>
          <w:rFonts w:ascii="Times New Roman" w:hAnsi="Times New Roman" w:cs="Times New Roman"/>
          <w:b/>
          <w:sz w:val="18"/>
        </w:rPr>
        <w:t xml:space="preserve"> г. до 17:00 по адресу: г. Гродно, пл. Ленина, 2/1, здание горисполкома, кабинет № 117</w:t>
      </w:r>
    </w:p>
    <w:p w:rsidR="00FB185A" w:rsidRDefault="00FB185A" w:rsidP="003149C2">
      <w:pPr>
        <w:spacing w:after="0" w:line="240" w:lineRule="auto"/>
        <w:jc w:val="both"/>
        <w:rPr>
          <w:rFonts w:ascii="Times New Roman" w:hAnsi="Times New Roman" w:cs="Times New Roman"/>
          <w:sz w:val="18"/>
        </w:rPr>
      </w:pPr>
      <w:r w:rsidRPr="00F93FD9">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r w:rsidR="007514F8" w:rsidRPr="00F93FD9">
        <w:rPr>
          <w:rFonts w:ascii="Times New Roman" w:hAnsi="Times New Roman" w:cs="Times New Roman"/>
          <w:sz w:val="18"/>
        </w:rPr>
        <w:t>.</w:t>
      </w:r>
    </w:p>
    <w:p w:rsidR="00DB228C" w:rsidRPr="00DB228C" w:rsidRDefault="00DB228C" w:rsidP="003149C2">
      <w:pPr>
        <w:spacing w:after="0" w:line="240" w:lineRule="auto"/>
        <w:jc w:val="both"/>
        <w:rPr>
          <w:rFonts w:ascii="Times New Roman" w:hAnsi="Times New Roman" w:cs="Times New Roman"/>
          <w:sz w:val="18"/>
        </w:rPr>
      </w:pPr>
      <w:r>
        <w:rPr>
          <w:rFonts w:ascii="Times New Roman" w:hAnsi="Times New Roman" w:cs="Times New Roman"/>
          <w:sz w:val="18"/>
        </w:rPr>
        <w:t xml:space="preserve">Сайт организатора аукциона: </w:t>
      </w:r>
      <w:r w:rsidRPr="00DB228C">
        <w:rPr>
          <w:rFonts w:ascii="Times New Roman" w:hAnsi="Times New Roman" w:cs="Times New Roman"/>
          <w:sz w:val="18"/>
        </w:rPr>
        <w:t>http://gcn.by/</w:t>
      </w:r>
    </w:p>
    <w:sectPr w:rsidR="00DB228C" w:rsidRPr="00DB228C" w:rsidSect="005605FD">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65AF6"/>
    <w:rsid w:val="0008162F"/>
    <w:rsid w:val="000821D1"/>
    <w:rsid w:val="000D54AA"/>
    <w:rsid w:val="00125A40"/>
    <w:rsid w:val="0017543D"/>
    <w:rsid w:val="00176AAF"/>
    <w:rsid w:val="0019151E"/>
    <w:rsid w:val="001B4ED0"/>
    <w:rsid w:val="001E43E5"/>
    <w:rsid w:val="00220EEC"/>
    <w:rsid w:val="00244AC2"/>
    <w:rsid w:val="00271265"/>
    <w:rsid w:val="00277542"/>
    <w:rsid w:val="00285B55"/>
    <w:rsid w:val="003149C2"/>
    <w:rsid w:val="00337216"/>
    <w:rsid w:val="003513B2"/>
    <w:rsid w:val="00363611"/>
    <w:rsid w:val="003705E6"/>
    <w:rsid w:val="003C3B0F"/>
    <w:rsid w:val="004263EE"/>
    <w:rsid w:val="00472EDB"/>
    <w:rsid w:val="004B02E6"/>
    <w:rsid w:val="005031E8"/>
    <w:rsid w:val="005605FD"/>
    <w:rsid w:val="005874F6"/>
    <w:rsid w:val="005F4DFB"/>
    <w:rsid w:val="00657E58"/>
    <w:rsid w:val="006607D1"/>
    <w:rsid w:val="0067276B"/>
    <w:rsid w:val="00672FA5"/>
    <w:rsid w:val="006B2277"/>
    <w:rsid w:val="006D3D92"/>
    <w:rsid w:val="006D6430"/>
    <w:rsid w:val="006E0798"/>
    <w:rsid w:val="007227A5"/>
    <w:rsid w:val="007323AE"/>
    <w:rsid w:val="007426D6"/>
    <w:rsid w:val="007514F8"/>
    <w:rsid w:val="007E3AC6"/>
    <w:rsid w:val="00800F1D"/>
    <w:rsid w:val="00817E73"/>
    <w:rsid w:val="008440E0"/>
    <w:rsid w:val="008C2DBC"/>
    <w:rsid w:val="008D3F1E"/>
    <w:rsid w:val="008F45A3"/>
    <w:rsid w:val="009240FA"/>
    <w:rsid w:val="00A22E0B"/>
    <w:rsid w:val="00A553FA"/>
    <w:rsid w:val="00A62406"/>
    <w:rsid w:val="00A8101F"/>
    <w:rsid w:val="00AE4E49"/>
    <w:rsid w:val="00B27BF5"/>
    <w:rsid w:val="00B41460"/>
    <w:rsid w:val="00B448AE"/>
    <w:rsid w:val="00B72D83"/>
    <w:rsid w:val="00BA7F9C"/>
    <w:rsid w:val="00C05D61"/>
    <w:rsid w:val="00C07C14"/>
    <w:rsid w:val="00C611F5"/>
    <w:rsid w:val="00C91E28"/>
    <w:rsid w:val="00DA7F9C"/>
    <w:rsid w:val="00DB228C"/>
    <w:rsid w:val="00DC0C65"/>
    <w:rsid w:val="00E03FEC"/>
    <w:rsid w:val="00E478AA"/>
    <w:rsid w:val="00EB4480"/>
    <w:rsid w:val="00F05CF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8344"/>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69</cp:revision>
  <cp:lastPrinted>2025-01-30T05:56:00Z</cp:lastPrinted>
  <dcterms:created xsi:type="dcterms:W3CDTF">2023-05-02T08:22:00Z</dcterms:created>
  <dcterms:modified xsi:type="dcterms:W3CDTF">2025-01-30T09:25:00Z</dcterms:modified>
</cp:coreProperties>
</file>