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1C62211D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9B4A2A">
        <w:rPr>
          <w:i w:val="0"/>
          <w:sz w:val="18"/>
          <w:szCs w:val="16"/>
        </w:rPr>
        <w:t>11 ноября</w:t>
      </w:r>
      <w:r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4749"/>
        <w:gridCol w:w="1258"/>
        <w:gridCol w:w="1818"/>
        <w:gridCol w:w="2374"/>
        <w:gridCol w:w="1502"/>
      </w:tblGrid>
      <w:tr w:rsidR="005249F6" w:rsidRPr="00286D04" w14:paraId="3E13A288" w14:textId="77777777" w:rsidTr="000301C6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0F132031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5249F6" w:rsidRPr="00286D04" w14:paraId="6597875A" w14:textId="77777777" w:rsidTr="000301C6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77777777" w:rsidR="005249F6" w:rsidRPr="004826CF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43F1" w14:textId="3AE2EA5F" w:rsidR="005249F6" w:rsidRPr="004826CF" w:rsidRDefault="005249F6" w:rsidP="000301C6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Pr="00214D09">
              <w:rPr>
                <w:sz w:val="18"/>
                <w:szCs w:val="16"/>
              </w:rPr>
              <w:t>ул. Бобровая, 12</w:t>
            </w:r>
            <w:r w:rsidR="009B4A2A">
              <w:rPr>
                <w:sz w:val="18"/>
                <w:szCs w:val="16"/>
              </w:rPr>
              <w:t>Г</w:t>
            </w:r>
          </w:p>
          <w:p w14:paraId="62C980AA" w14:textId="766FA3EE" w:rsidR="005249F6" w:rsidRPr="004826CF" w:rsidRDefault="009B4A2A" w:rsidP="000301C6">
            <w:pPr>
              <w:rPr>
                <w:sz w:val="18"/>
                <w:szCs w:val="16"/>
              </w:rPr>
            </w:pPr>
            <w:r w:rsidRPr="009B4A2A">
              <w:rPr>
                <w:sz w:val="18"/>
                <w:szCs w:val="16"/>
              </w:rPr>
              <w:t>440100000001014829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77777777" w:rsidR="005249F6" w:rsidRPr="004826CF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4E734703" w:rsidR="005249F6" w:rsidRPr="004826CF" w:rsidRDefault="009B26A3" w:rsidP="000301C6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0,0961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21DEDEDD" w:rsidR="005249F6" w:rsidRPr="004826CF" w:rsidRDefault="009B26A3" w:rsidP="000301C6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18 634,00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24D2767C" w:rsidR="005249F6" w:rsidRPr="00FF79F9" w:rsidRDefault="009B26A3" w:rsidP="000301C6">
            <w:pPr>
              <w:jc w:val="center"/>
              <w:rPr>
                <w:sz w:val="18"/>
                <w:szCs w:val="16"/>
              </w:rPr>
            </w:pPr>
            <w:r w:rsidRPr="009B26A3">
              <w:rPr>
                <w:sz w:val="18"/>
                <w:szCs w:val="16"/>
              </w:rPr>
              <w:t>4 726,22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1022507C" w:rsidR="005249F6" w:rsidRPr="004826CF" w:rsidRDefault="009B26A3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3 700,00</w:t>
            </w:r>
          </w:p>
        </w:tc>
      </w:tr>
      <w:tr w:rsidR="005249F6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8787" w14:textId="526912B1" w:rsidR="005249F6" w:rsidRPr="00A8683A" w:rsidRDefault="005249F6" w:rsidP="000301C6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9B26A3" w:rsidRPr="009B26A3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9B26A3">
              <w:rPr>
                <w:sz w:val="18"/>
                <w:szCs w:val="16"/>
              </w:rPr>
              <w:t>«</w:t>
            </w:r>
            <w:r w:rsidR="009B26A3" w:rsidRPr="009B26A3">
              <w:rPr>
                <w:sz w:val="18"/>
                <w:szCs w:val="16"/>
              </w:rPr>
              <w:t xml:space="preserve">Возведение одноквартирного жилого дома на земельном участке У-10 по ул. Бобровой в микрорайоне жилой усадебной застройки Барановичи-5 в </w:t>
            </w:r>
            <w:proofErr w:type="spellStart"/>
            <w:r w:rsidR="009B26A3" w:rsidRPr="009B26A3">
              <w:rPr>
                <w:sz w:val="18"/>
                <w:szCs w:val="16"/>
              </w:rPr>
              <w:t>г.Гродно</w:t>
            </w:r>
            <w:proofErr w:type="spellEnd"/>
            <w:r w:rsidR="009B26A3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8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 (</w:t>
            </w:r>
            <w:r w:rsidR="0072739A">
              <w:rPr>
                <w:sz w:val="18"/>
                <w:szCs w:val="18"/>
              </w:rPr>
              <w:t>0,0961</w:t>
            </w:r>
            <w:r>
              <w:rPr>
                <w:sz w:val="18"/>
                <w:szCs w:val="18"/>
              </w:rPr>
              <w:t xml:space="preserve"> га); в охранных зонах объектов газораспределительной системы (</w:t>
            </w:r>
            <w:r w:rsidR="0072739A">
              <w:rPr>
                <w:sz w:val="18"/>
                <w:szCs w:val="18"/>
              </w:rPr>
              <w:t>0,0064</w:t>
            </w:r>
            <w:r>
              <w:rPr>
                <w:sz w:val="18"/>
                <w:szCs w:val="18"/>
              </w:rPr>
              <w:t xml:space="preserve"> га)</w:t>
            </w:r>
          </w:p>
          <w:p w14:paraId="3DCBF4E0" w14:textId="77777777" w:rsidR="005249F6" w:rsidRPr="00F652ED" w:rsidRDefault="005249F6" w:rsidP="000301C6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Н</w:t>
            </w:r>
            <w:r w:rsidRPr="00F652ED">
              <w:rPr>
                <w:sz w:val="18"/>
                <w:szCs w:val="16"/>
              </w:rPr>
              <w:t>е</w:t>
            </w:r>
            <w:r>
              <w:rPr>
                <w:sz w:val="18"/>
                <w:szCs w:val="16"/>
              </w:rPr>
              <w:t xml:space="preserve">обходимость возмещения затрат </w:t>
            </w:r>
            <w:r w:rsidRPr="004826CF">
              <w:rPr>
                <w:sz w:val="18"/>
                <w:szCs w:val="16"/>
              </w:rPr>
              <w:t>на транспортную инфраструктуру</w:t>
            </w:r>
            <w:r>
              <w:rPr>
                <w:sz w:val="18"/>
                <w:szCs w:val="16"/>
              </w:rPr>
              <w:t>,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>, газоснабжения</w:t>
            </w:r>
          </w:p>
        </w:tc>
      </w:tr>
      <w:tr w:rsidR="005249F6" w:rsidRPr="004826CF" w14:paraId="6AE5D81C" w14:textId="77777777" w:rsidTr="000301C6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0D8C" w14:textId="77777777" w:rsidR="005249F6" w:rsidRPr="004826CF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Pr="004826CF">
              <w:rPr>
                <w:sz w:val="18"/>
                <w:szCs w:val="16"/>
              </w:rPr>
              <w:t>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62D6" w14:textId="675C5FA2" w:rsidR="005249F6" w:rsidRPr="004826CF" w:rsidRDefault="005249F6" w:rsidP="000301C6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4C7EA3" w:rsidRPr="004C7EA3">
              <w:rPr>
                <w:sz w:val="18"/>
                <w:szCs w:val="16"/>
              </w:rPr>
              <w:t>ул. Заречная, 81</w:t>
            </w:r>
          </w:p>
          <w:p w14:paraId="5D80A7AC" w14:textId="13073D8C" w:rsidR="005249F6" w:rsidRPr="004826CF" w:rsidRDefault="004C7EA3" w:rsidP="000301C6">
            <w:pPr>
              <w:rPr>
                <w:sz w:val="18"/>
                <w:szCs w:val="16"/>
              </w:rPr>
            </w:pPr>
            <w:r w:rsidRPr="004C7EA3">
              <w:rPr>
                <w:sz w:val="18"/>
                <w:szCs w:val="16"/>
              </w:rPr>
              <w:t>440100000003007799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6A58" w14:textId="77777777" w:rsidR="005249F6" w:rsidRPr="004826CF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</w:t>
            </w:r>
            <w:proofErr w:type="spellStart"/>
            <w:r>
              <w:rPr>
                <w:sz w:val="18"/>
                <w:szCs w:val="16"/>
              </w:rPr>
              <w:t>электроотопления</w:t>
            </w:r>
            <w:proofErr w:type="spellEnd"/>
            <w:r>
              <w:rPr>
                <w:sz w:val="18"/>
                <w:szCs w:val="16"/>
              </w:rPr>
              <w:t xml:space="preserve"> и </w:t>
            </w:r>
            <w:proofErr w:type="spellStart"/>
            <w:r>
              <w:rPr>
                <w:sz w:val="18"/>
                <w:szCs w:val="16"/>
              </w:rPr>
              <w:t>пищеприготовления</w:t>
            </w:r>
            <w:proofErr w:type="spellEnd"/>
            <w:r>
              <w:rPr>
                <w:sz w:val="18"/>
                <w:szCs w:val="16"/>
              </w:rPr>
              <w:t>), газоснабжения, водоснабжения, водоотведения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8B49" w14:textId="186F56F3" w:rsidR="005249F6" w:rsidRPr="004826CF" w:rsidRDefault="009106EE" w:rsidP="000301C6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0,1400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36C7" w14:textId="1ED1F6D2" w:rsidR="005249F6" w:rsidRPr="004826CF" w:rsidRDefault="009106EE" w:rsidP="000301C6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28 196,00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402A" w14:textId="19B5D9AC" w:rsidR="005249F6" w:rsidRPr="00FF79F9" w:rsidRDefault="003D75C7" w:rsidP="000301C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3 077,82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7D3A" w14:textId="05E6D546" w:rsidR="005249F6" w:rsidRPr="004826C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5 </w:t>
            </w:r>
            <w:r w:rsidR="004008B1">
              <w:rPr>
                <w:sz w:val="18"/>
                <w:szCs w:val="16"/>
              </w:rPr>
              <w:t>6</w:t>
            </w:r>
            <w:r>
              <w:rPr>
                <w:sz w:val="18"/>
                <w:szCs w:val="16"/>
              </w:rPr>
              <w:t>00,00</w:t>
            </w:r>
          </w:p>
        </w:tc>
      </w:tr>
      <w:tr w:rsidR="005249F6" w:rsidRPr="00F652ED" w14:paraId="40AEABCC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934D" w14:textId="01916DBD" w:rsidR="005249F6" w:rsidRPr="00A8683A" w:rsidRDefault="005249F6" w:rsidP="000301C6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4C7EA3" w:rsidRPr="004C7EA3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4C7EA3">
              <w:rPr>
                <w:sz w:val="18"/>
                <w:szCs w:val="16"/>
              </w:rPr>
              <w:t>«</w:t>
            </w:r>
            <w:r w:rsidR="004C7EA3" w:rsidRPr="004C7EA3">
              <w:rPr>
                <w:sz w:val="18"/>
                <w:szCs w:val="16"/>
              </w:rPr>
              <w:t xml:space="preserve">Возведение одноквартирного жилого дома на земельном участке У-89 по ул. Заречной в микрорайоне жилой усадебной застройки Зарица-3 в </w:t>
            </w:r>
            <w:proofErr w:type="spellStart"/>
            <w:r w:rsidR="004C7EA3" w:rsidRPr="004C7EA3">
              <w:rPr>
                <w:sz w:val="18"/>
                <w:szCs w:val="16"/>
              </w:rPr>
              <w:t>г.Гродно</w:t>
            </w:r>
            <w:proofErr w:type="spellEnd"/>
            <w:r w:rsidR="004C7EA3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8"/>
              </w:rPr>
              <w:t>Земельный участок расположен в охранных зонах электрической сети (0,001</w:t>
            </w:r>
            <w:r w:rsidR="004C7EA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га)</w:t>
            </w:r>
          </w:p>
          <w:p w14:paraId="413F9E74" w14:textId="77777777" w:rsidR="005249F6" w:rsidRPr="00F652ED" w:rsidRDefault="005249F6" w:rsidP="000301C6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Н</w:t>
            </w:r>
            <w:r w:rsidRPr="00F652ED">
              <w:rPr>
                <w:sz w:val="18"/>
                <w:szCs w:val="16"/>
              </w:rPr>
              <w:t>е</w:t>
            </w:r>
            <w:r>
              <w:rPr>
                <w:sz w:val="18"/>
                <w:szCs w:val="16"/>
              </w:rPr>
              <w:t>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</w:t>
            </w:r>
            <w:r>
              <w:rPr>
                <w:spacing w:val="-2"/>
                <w:sz w:val="18"/>
                <w:szCs w:val="16"/>
              </w:rPr>
              <w:t>водоотведения</w:t>
            </w:r>
          </w:p>
        </w:tc>
      </w:tr>
    </w:tbl>
    <w:p w14:paraId="08017AEB" w14:textId="109AB935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77777777" w:rsidR="005249F6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</w:t>
      </w:r>
      <w:r>
        <w:rPr>
          <w:spacing w:val="3"/>
          <w:sz w:val="18"/>
          <w:szCs w:val="18"/>
        </w:rPr>
        <w:t>о участка в установленный срок; завершить строительство капитального строения в виду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прав).</w:t>
      </w:r>
    </w:p>
    <w:p w14:paraId="5B40BEF4" w14:textId="5955EF49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7A0924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водоснабжение 460,01 рублей за 1 </w:t>
      </w:r>
      <w:proofErr w:type="spellStart"/>
      <w:r w:rsidRPr="007A0924">
        <w:rPr>
          <w:sz w:val="18"/>
          <w:szCs w:val="16"/>
        </w:rPr>
        <w:t>куб.метр</w:t>
      </w:r>
      <w:proofErr w:type="spellEnd"/>
      <w:r w:rsidRPr="007A0924">
        <w:rPr>
          <w:sz w:val="18"/>
          <w:szCs w:val="16"/>
        </w:rPr>
        <w:t xml:space="preserve"> в сутки; газоснабжение 701,54 рублей за 1 куб. метр в час хозяйственно-бытовая канализация: 396,58 рублей за 1 куб. метр в сутки;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15 551,41 руб. за 1 гектар земельного участка). </w:t>
      </w:r>
      <w:r w:rsidR="006D2CC1" w:rsidRPr="006D2CC1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55079E42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3D75C7">
        <w:rPr>
          <w:b/>
          <w:sz w:val="18"/>
          <w:szCs w:val="16"/>
        </w:rPr>
        <w:t>11 ноября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5E8266E1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3D75C7">
        <w:rPr>
          <w:b/>
          <w:sz w:val="18"/>
          <w:szCs w:val="16"/>
        </w:rPr>
        <w:t>13 октября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3D75C7">
        <w:rPr>
          <w:b/>
          <w:sz w:val="18"/>
          <w:szCs w:val="16"/>
        </w:rPr>
        <w:t>4 ноября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 xml:space="preserve"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</w:t>
      </w:r>
      <w:r w:rsidRPr="003D0799">
        <w:rPr>
          <w:sz w:val="18"/>
          <w:szCs w:val="18"/>
        </w:rPr>
        <w:lastRenderedPageBreak/>
        <w:t>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proofErr w:type="spellStart"/>
      <w:r w:rsidRPr="00AB7FAE">
        <w:rPr>
          <w:sz w:val="18"/>
          <w:szCs w:val="16"/>
          <w:lang w:val="en-US"/>
        </w:rPr>
        <w:t>gcn</w:t>
      </w:r>
      <w:proofErr w:type="spellEnd"/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2A7977"/>
    <w:rsid w:val="003D75C7"/>
    <w:rsid w:val="004008B1"/>
    <w:rsid w:val="004C7EA3"/>
    <w:rsid w:val="005249F6"/>
    <w:rsid w:val="00541DB5"/>
    <w:rsid w:val="005456B5"/>
    <w:rsid w:val="006D2CC1"/>
    <w:rsid w:val="0072739A"/>
    <w:rsid w:val="007A3602"/>
    <w:rsid w:val="009106EE"/>
    <w:rsid w:val="009B26A3"/>
    <w:rsid w:val="009B4A2A"/>
    <w:rsid w:val="00AB7FAE"/>
    <w:rsid w:val="00B3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2025-09-11T06:10:00Z</dcterms:created>
  <dcterms:modified xsi:type="dcterms:W3CDTF">2025-10-06T12:31:00Z</dcterms:modified>
</cp:coreProperties>
</file>